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5B" w:rsidRPr="00A25172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ЗАГЛАВИЕ НА ДОКЛАДА (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14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old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</w:t>
      </w:r>
      <w:r w:rsidR="009D680D" w:rsidRPr="00A25172">
        <w:rPr>
          <w:lang w:val="en-US"/>
        </w:rPr>
        <w:t xml:space="preserve">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Centered; Capital letters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)</w:t>
      </w:r>
    </w:p>
    <w:p w:rsidR="008D285B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(14 </w:t>
      </w:r>
      <w:proofErr w:type="spellStart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)</w:t>
      </w:r>
    </w:p>
    <w:p w:rsidR="00390FF0" w:rsidRPr="00A25172" w:rsidRDefault="00390FF0" w:rsidP="00390F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PAPER TOPIC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14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 Bold,</w:t>
      </w:r>
      <w:r w:rsidRPr="00A25172">
        <w:rPr>
          <w:lang w:val="en-US"/>
        </w:rPr>
        <w:t xml:space="preserve"> 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Centered; Capital letters)</w:t>
      </w:r>
    </w:p>
    <w:p w:rsidR="00390FF0" w:rsidRPr="00A25172" w:rsidRDefault="00390FF0" w:rsidP="00390FF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(14 </w:t>
      </w:r>
      <w:proofErr w:type="spellStart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)</w:t>
      </w:r>
    </w:p>
    <w:p w:rsidR="008D285B" w:rsidRPr="00A25172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Име, презиме и фамилия на автора (12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old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 Centered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8D285B" w:rsidRPr="00A25172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Университет</w:t>
      </w:r>
      <w:r w:rsidR="0046306A">
        <w:rPr>
          <w:rFonts w:ascii="Times New Roman" w:eastAsia="Times New Roman" w:hAnsi="Times New Roman" w:cs="Times New Roman"/>
          <w:sz w:val="24"/>
          <w:szCs w:val="24"/>
          <w:lang w:eastAsia="hr-HR"/>
        </w:rPr>
        <w:t>/Организация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9D680D"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Pr="008D28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46306A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4630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(12 </w:t>
      </w:r>
      <w:proofErr w:type="spellStart"/>
      <w:r w:rsidRPr="004630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4630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8D285B" w:rsidP="0099126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Резюме</w:t>
      </w:r>
      <w:r w:rsidR="00DC3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, bold, italic)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(1</w:t>
      </w:r>
      <w:r w:rsidRPr="0007460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)</w:t>
      </w:r>
    </w:p>
    <w:p w:rsidR="008D285B" w:rsidRPr="008D285B" w:rsidRDefault="00DC3311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Резюмето е не повече от 10 реда (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12 </w:t>
      </w:r>
      <w:proofErr w:type="spellStart"/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I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talic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Justified,</w:t>
      </w:r>
      <w:r w:rsidR="009D680D"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First li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ne: 12 mm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 и се състои от един параграф. То включва актуалност на темата, цел на разработката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методология, основни резултати, ограничения на изследването.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B145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9D680D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Ключови думи</w:t>
      </w:r>
      <w:r w:rsidR="003A5957"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(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12 </w:t>
      </w:r>
      <w:proofErr w:type="spellStart"/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>pt</w:t>
      </w:r>
      <w:proofErr w:type="spellEnd"/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,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 Italic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: 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Ключовите думи са </w:t>
      </w:r>
      <w:r w:rsidRPr="00A251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от 3 до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5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(1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pt</w:t>
      </w:r>
      <w:proofErr w:type="spellEnd"/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</w:t>
      </w:r>
      <w:r w:rsidR="003A5957"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Normal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Justified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)</w:t>
      </w:r>
    </w:p>
    <w:p w:rsidR="003A5957" w:rsidRDefault="008D285B" w:rsidP="0099126D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(1</w:t>
      </w:r>
      <w:r w:rsidR="003A5957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)</w:t>
      </w:r>
    </w:p>
    <w:p w:rsidR="00390FF0" w:rsidRPr="008D285B" w:rsidRDefault="00390FF0" w:rsidP="00390FF0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hr-HR"/>
        </w:rPr>
        <w:t>Abstract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, bold, italic)</w:t>
      </w:r>
    </w:p>
    <w:p w:rsidR="00390FF0" w:rsidRPr="008D285B" w:rsidRDefault="00390FF0" w:rsidP="00390FF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(1</w:t>
      </w:r>
      <w:r w:rsidRPr="0007460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)</w:t>
      </w:r>
    </w:p>
    <w:p w:rsidR="00390FF0" w:rsidRPr="008D285B" w:rsidRDefault="00390FF0" w:rsidP="00390FF0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The abstract should not be longer than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10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lines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I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talic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Justified,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proofErr w:type="gramStart"/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First</w:t>
      </w:r>
      <w:proofErr w:type="gramEnd"/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li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ne: 12 mm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and is constituted of one paragraph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It includes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topicality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r w:rsidR="001838C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a goal of the paper</w:t>
      </w:r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1838C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methodology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r w:rsidR="001838C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main results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r w:rsidR="001838C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research </w:t>
      </w:r>
      <w:proofErr w:type="gramStart"/>
      <w:r w:rsidR="001838C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limitation.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proofErr w:type="gramEnd"/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</w:p>
    <w:p w:rsidR="00390FF0" w:rsidRPr="008D285B" w:rsidRDefault="00390FF0" w:rsidP="00390F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390FF0" w:rsidRPr="008D285B" w:rsidRDefault="00390FF0" w:rsidP="00390F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hr-HR"/>
        </w:rPr>
        <w:t>Key words</w:t>
      </w:r>
      <w:r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(</w:t>
      </w:r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12 </w:t>
      </w:r>
      <w:proofErr w:type="spellStart"/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>pt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,</w:t>
      </w:r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 Italic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The key words are from</w:t>
      </w:r>
      <w:r w:rsidRPr="00A251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to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5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(1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pt</w:t>
      </w:r>
      <w:proofErr w:type="spellEnd"/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</w:t>
      </w:r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Normal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Justified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)</w:t>
      </w:r>
    </w:p>
    <w:p w:rsidR="00390FF0" w:rsidRDefault="00390FF0" w:rsidP="00390FF0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(1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)</w:t>
      </w:r>
    </w:p>
    <w:p w:rsidR="008D285B" w:rsidRPr="00C60A4D" w:rsidRDefault="003A5957" w:rsidP="0099126D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hr-HR"/>
        </w:rPr>
      </w:pPr>
      <w:r w:rsidRPr="003A595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Увод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C60A4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(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1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pt</w:t>
      </w:r>
      <w:proofErr w:type="spellEnd"/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, 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hr-HR"/>
        </w:rPr>
        <w:t>Bold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,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Justified)</w:t>
      </w:r>
    </w:p>
    <w:p w:rsidR="008D285B" w:rsidRPr="008D285B" w:rsidRDefault="009E3F42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Уводът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(12 </w:t>
      </w:r>
      <w:proofErr w:type="spellStart"/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Normal</w:t>
      </w:r>
      <w:r w:rsidRPr="009E3F4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Justified, First line: 12 mm)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представя актуалността и значимостта на </w:t>
      </w:r>
      <w:r w:rsidR="00AE7783">
        <w:rPr>
          <w:rFonts w:ascii="Times New Roman" w:eastAsia="Times New Roman" w:hAnsi="Times New Roman" w:cs="Times New Roman"/>
          <w:sz w:val="24"/>
          <w:szCs w:val="24"/>
          <w:lang w:eastAsia="hr-HR"/>
        </w:rPr>
        <w:t>темата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, както и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целта, която си поставяте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с разработване</w:t>
      </w:r>
      <w:r w:rsidR="00AE7783">
        <w:rPr>
          <w:rFonts w:ascii="Times New Roman" w:eastAsia="Times New Roman" w:hAnsi="Times New Roman" w:cs="Times New Roman"/>
          <w:sz w:val="24"/>
          <w:szCs w:val="24"/>
          <w:lang w:eastAsia="hr-HR"/>
        </w:rPr>
        <w:t>то на доклада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50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3A59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pt)</w:t>
      </w:r>
    </w:p>
    <w:p w:rsidR="008D285B" w:rsidRPr="008D285B" w:rsidRDefault="003A5957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. 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Подзаглавие от първо ниво 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(12 pt, Bold, Justified)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p w:rsidR="008D285B" w:rsidRPr="008D285B" w:rsidRDefault="003A5957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.1.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Подзаглавие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от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второ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ниво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(12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Bold, Justified)</w:t>
      </w:r>
    </w:p>
    <w:p w:rsidR="008D285B" w:rsidRPr="008D285B" w:rsidRDefault="00C60A4D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При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цитиране в текста</w:t>
      </w:r>
      <w:r w:rsidR="005B68D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B68D4">
        <w:rPr>
          <w:rFonts w:ascii="Times New Roman" w:eastAsia="Times New Roman" w:hAnsi="Times New Roman" w:cs="Times New Roman"/>
          <w:sz w:val="24"/>
          <w:szCs w:val="24"/>
          <w:lang w:eastAsia="hr-HR"/>
        </w:rPr>
        <w:t>моля,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използвайте Х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арвардския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реферативен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стил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: 12 mm)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В скоби се поставят фамилията на автора, годината на публикуване и страницата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Иванов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2014</w:t>
      </w:r>
      <w:r w:rsidR="002B588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с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..)</w:t>
      </w:r>
      <w:r w:rsid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П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ри чуждестранен автор - </w:t>
      </w:r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Вlackstone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, 2013, р. 115)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При двама автори техните фамилии се свързват с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“&amp;” (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Иванов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&amp;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Павлов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година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с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…)</w:t>
      </w:r>
      <w:r w:rsidR="002B588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или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Rosenzweig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3BE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Roth</w:t>
      </w:r>
      <w:proofErr w:type="spellEnd"/>
      <w:r w:rsidR="002B57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2004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 трима или повече автори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се пише фамилията на първия автор и се добавя „и кол.“ или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“et al”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Димитров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и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кол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., 2010, с. 186)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или 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Tan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al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., 2004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, р…)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 необходимост да се доуточни даден текст, това може да</w:t>
      </w:r>
      <w:r w:rsidR="005B68D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се направи п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од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линия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(Footnote),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по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стандарт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с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номера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от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до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footnoteReference w:id="1"/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 xml:space="preserve"> (1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3A5957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.1.1. 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Подзаглавие от трето ниво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(1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, Italic, </w:t>
      </w:r>
      <w:proofErr w:type="spellStart"/>
      <w:r w:rsidR="00C60A4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Jusified</w:t>
      </w:r>
      <w:proofErr w:type="spellEnd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)</w:t>
      </w:r>
    </w:p>
    <w:p w:rsidR="00366CC8" w:rsidRPr="00366CC8" w:rsidRDefault="00133BE6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Фигурите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графики, диаграми, рисунки, снимки)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 таблиците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не са цветни. Те представляват част от текста и не трябва да надвишават ограниченията на полетата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366CC8" w:rsidRP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Номерира</w:t>
      </w:r>
      <w:proofErr w:type="spellEnd"/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т се </w:t>
      </w:r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с </w:t>
      </w:r>
      <w:proofErr w:type="spellStart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арабски</w:t>
      </w:r>
      <w:proofErr w:type="spellEnd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цифри</w:t>
      </w:r>
      <w:proofErr w:type="spellEnd"/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се центрират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. Наименованието на фигурите е под тях, следвано от подробно изписване на източника, а на таблиците - над тях, като източникът се описва под таблицата. Необходимо е в текста да се позовете на всяка фигура или таблица (Фигура 1)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pt)</w:t>
      </w:r>
    </w:p>
    <w:p w:rsidR="008D285B" w:rsidRPr="008D285B" w:rsidRDefault="00366CC8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6C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F130ABE" wp14:editId="088FEB33">
            <wp:extent cx="4680585" cy="608801"/>
            <wp:effectExtent l="0" t="0" r="5715" b="1270"/>
            <wp:docPr id="2" name="Picture 2" descr="U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6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C8" w:rsidRDefault="00366CC8" w:rsidP="00991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Фигура</w:t>
      </w:r>
      <w:r w:rsidRPr="00366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1.</w:t>
      </w:r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Наименование на фигурата</w:t>
      </w:r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</w:t>
      </w:r>
      <w:proofErr w:type="spellStart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eft</w:t>
      </w:r>
      <w:proofErr w:type="spellEnd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alignment</w:t>
      </w:r>
      <w:proofErr w:type="spellEnd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366CC8" w:rsidRDefault="00366CC8" w:rsidP="0099126D">
      <w:pPr>
        <w:spacing w:after="12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366CC8">
        <w:rPr>
          <w:rFonts w:ascii="Times New Roman" w:eastAsia="Times New Roman" w:hAnsi="Times New Roman" w:cs="Times New Roman"/>
          <w:lang w:eastAsia="hr-HR"/>
        </w:rPr>
        <w:t>Източник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: (</w:t>
      </w:r>
      <w:r w:rsidRPr="00366CC8">
        <w:rPr>
          <w:rFonts w:ascii="Times New Roman" w:eastAsia="Times New Roman" w:hAnsi="Times New Roman" w:cs="Times New Roman"/>
          <w:lang w:val="en-GB" w:eastAsia="hr-HR"/>
        </w:rPr>
        <w:t xml:space="preserve">11 </w:t>
      </w:r>
      <w:proofErr w:type="spellStart"/>
      <w:r w:rsidRPr="00366CC8">
        <w:rPr>
          <w:rFonts w:ascii="Times New Roman" w:eastAsia="Times New Roman" w:hAnsi="Times New Roman" w:cs="Times New Roman"/>
          <w:lang w:val="en-GB" w:eastAsia="hr-HR"/>
        </w:rPr>
        <w:t>pt</w:t>
      </w:r>
      <w:proofErr w:type="spellEnd"/>
      <w:r w:rsidRPr="00366CC8">
        <w:rPr>
          <w:rFonts w:ascii="Times New Roman" w:eastAsia="Times New Roman" w:hAnsi="Times New Roman" w:cs="Times New Roman"/>
          <w:lang w:val="en-GB" w:eastAsia="hr-HR"/>
        </w:rPr>
        <w:t>, L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eft  alignment)</w:t>
      </w:r>
    </w:p>
    <w:p w:rsid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5146D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Таблица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1.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Наименование на таблицата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eft alignment)</w:t>
      </w:r>
    </w:p>
    <w:tbl>
      <w:tblPr>
        <w:tblW w:w="6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284"/>
        <w:gridCol w:w="2284"/>
      </w:tblGrid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</w:tbl>
    <w:p w:rsidR="008D285B" w:rsidRPr="005146DB" w:rsidRDefault="005146DB" w:rsidP="0099126D">
      <w:pPr>
        <w:spacing w:after="12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5146DB">
        <w:rPr>
          <w:rFonts w:ascii="Times New Roman" w:eastAsia="Times New Roman" w:hAnsi="Times New Roman" w:cs="Times New Roman"/>
          <w:lang w:eastAsia="hr-HR"/>
        </w:rPr>
        <w:t>Източник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: (</w:t>
      </w:r>
      <w:r w:rsidRPr="005146DB">
        <w:rPr>
          <w:rFonts w:ascii="Times New Roman" w:eastAsia="Times New Roman" w:hAnsi="Times New Roman" w:cs="Times New Roman"/>
          <w:lang w:eastAsia="hr-HR"/>
        </w:rPr>
        <w:t>11</w:t>
      </w:r>
      <w:r w:rsidRPr="00514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146DB">
        <w:rPr>
          <w:rFonts w:ascii="Times New Roman" w:eastAsia="Times New Roman" w:hAnsi="Times New Roman" w:cs="Times New Roman"/>
          <w:lang w:val="en-GB" w:eastAsia="hr-HR"/>
        </w:rPr>
        <w:t>pt</w:t>
      </w:r>
      <w:proofErr w:type="spellEnd"/>
      <w:r w:rsidRPr="005146DB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r w:rsidRPr="005146DB">
        <w:rPr>
          <w:rFonts w:ascii="Times New Roman" w:eastAsia="Times New Roman" w:hAnsi="Times New Roman" w:cs="Times New Roman"/>
          <w:lang w:val="en-US" w:eastAsia="hr-HR"/>
        </w:rPr>
        <w:t>L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eft alignment)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E636B6" w:rsidRDefault="00E636B6" w:rsidP="0099126D">
      <w:pPr>
        <w:autoSpaceDE w:val="0"/>
        <w:autoSpaceDN w:val="0"/>
        <w:adjustRightInd w:val="0"/>
        <w:spacing w:after="12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Формули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 се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ентрира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и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номерира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отдясно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арабски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цифри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малки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скоби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E636B6" w:rsidRPr="00E636B6" w:rsidRDefault="00E636B6" w:rsidP="009912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(12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pt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E636B6" w:rsidRPr="00E636B6" w:rsidRDefault="00E636B6" w:rsidP="0099126D">
      <w:pPr>
        <w:tabs>
          <w:tab w:val="left" w:pos="5400"/>
          <w:tab w:val="left" w:pos="8640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373545"/>
          <w:sz w:val="24"/>
          <w:szCs w:val="18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Ресурси=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E636B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18"/>
        </w:rPr>
        <w:t>(</w: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begin"/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SEQ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( \*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ARABIC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separate"/>
      </w:r>
      <w:r w:rsidRPr="00E636B6">
        <w:rPr>
          <w:rFonts w:ascii="Times New Roman" w:eastAsia="Times New Roman" w:hAnsi="Times New Roman" w:cs="Times New Roman"/>
          <w:iCs/>
          <w:noProof/>
          <w:sz w:val="24"/>
          <w:szCs w:val="18"/>
        </w:rPr>
        <w:t>1</w: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end"/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t>)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5146D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Заключение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(12 </w:t>
      </w:r>
      <w:proofErr w:type="spellStart"/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Bold, Justified)</w:t>
      </w:r>
    </w:p>
    <w:p w:rsidR="008D285B" w:rsidRPr="008D285B" w:rsidRDefault="005146DB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В заключението се обобщават </w:t>
      </w:r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: 12 mm)</w:t>
      </w:r>
      <w:r w:rsid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основните изводи от направеното изследване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Може да се определят насоки за бъдещи изследвания.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8D285B" w:rsidRPr="008D285B" w:rsidRDefault="004F53E9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Списъкът с цитираните източници се изготвя със следните характеристики: 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без отстъпи на всеки нов ред, без номерация.  </w:t>
      </w:r>
      <w:r w:rsid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Източниците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се подреждат по азбучен ред спрямо фамилията на автора или първия автор, като първо се изброяват източниците на кирилица. Публикации от един и същи автор/автори се подреждат по годините на публикуване.</w:t>
      </w:r>
      <w:r w:rsid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Всеки източник следва да бъде рефериран в текста.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4F53E9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Цитирани източници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r w:rsidR="008E79EE" w:rsidRPr="008E79E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Bold, Justified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)</w:t>
      </w:r>
    </w:p>
    <w:p w:rsidR="008D285B" w:rsidRPr="008D285B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един автор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8E79EE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Раковска, М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</w:t>
      </w:r>
      <w:r w:rsidR="001838C1">
        <w:rPr>
          <w:rFonts w:ascii="Times New Roman" w:eastAsia="Times New Roman" w:hAnsi="Times New Roman" w:cs="Times New Roman"/>
          <w:noProof/>
          <w:sz w:val="24"/>
          <w:szCs w:val="24"/>
          <w:lang w:val="en-US" w:eastAsia="hr-HR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="001838C1" w:rsidRPr="001838C1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Управление на веригата на доставките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София: Университетско издателство „Стопанство”</w:t>
      </w:r>
    </w:p>
    <w:p w:rsidR="008D285B" w:rsidRPr="008D285B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двама автори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436AA6" w:rsidRDefault="00E343F5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Monczka</w:t>
      </w:r>
      <w:proofErr w:type="spellEnd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, R.M.</w:t>
      </w:r>
      <w:r w:rsidR="00436AA6"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6AA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436AA6"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Handfield</w:t>
      </w:r>
      <w:proofErr w:type="spellEnd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, R.B.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436AA6"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15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36AA6"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Purchasing</w:t>
      </w:r>
      <w:proofErr w:type="spellEnd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and</w:t>
      </w:r>
      <w:proofErr w:type="spellEnd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Supply </w:t>
      </w:r>
      <w:proofErr w:type="spellStart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Chain</w:t>
      </w:r>
      <w:proofErr w:type="spellEnd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E343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Management</w:t>
      </w:r>
      <w:proofErr w:type="spellEnd"/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36AA6"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Cengage</w:t>
      </w:r>
      <w:proofErr w:type="spellEnd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Learning</w:t>
      </w:r>
      <w:proofErr w:type="spellEnd"/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85B" w:rsidRPr="008D285B" w:rsidRDefault="00436AA6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повече от двама автори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8E79EE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Coyle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J.,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Langley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C. J., </w:t>
      </w:r>
      <w:proofErr w:type="spellStart"/>
      <w:r w:rsid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Gibson</w:t>
      </w:r>
      <w:proofErr w:type="spellEnd"/>
      <w:r w:rsid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>, B.</w:t>
      </w:r>
      <w:r w:rsidR="00E343F5"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6AA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343F5"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Novack</w:t>
      </w:r>
      <w:proofErr w:type="spellEnd"/>
      <w:r w:rsidR="00E343F5"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, R.</w:t>
      </w:r>
      <w:r w:rsidR="00E34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E343F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6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Supply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Chain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Management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a Logistics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Perspective</w:t>
      </w:r>
      <w:proofErr w:type="spellEnd"/>
      <w:r w:rsid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Cengage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Learning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85B" w:rsidRPr="008D285B" w:rsidRDefault="00436AA6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Статия от списание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: </w:t>
      </w:r>
    </w:p>
    <w:p w:rsidR="00436AA6" w:rsidRDefault="00436AA6" w:rsidP="0099126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Knoppen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, D. </w:t>
      </w:r>
      <w:r w:rsidRPr="008D285B">
        <w:rPr>
          <w:rFonts w:ascii="Times New Roman" w:eastAsia="Calibri" w:hAnsi="Times New Roman" w:cs="Times New Roman"/>
          <w:sz w:val="24"/>
          <w:szCs w:val="24"/>
          <w:lang w:val="en-US"/>
        </w:rPr>
        <w:t>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Saenz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M.J. (</w:t>
      </w:r>
      <w:r w:rsidRPr="00436AA6">
        <w:rPr>
          <w:rFonts w:ascii="Times New Roman" w:eastAsia="Calibri" w:hAnsi="Times New Roman" w:cs="Times New Roman"/>
          <w:sz w:val="24"/>
          <w:szCs w:val="24"/>
        </w:rPr>
        <w:t>2015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Purchasing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bridge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gap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strategy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daily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reality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436AA6">
        <w:rPr>
          <w:rFonts w:ascii="Times New Roman" w:eastAsia="Calibri" w:hAnsi="Times New Roman" w:cs="Times New Roman"/>
          <w:i/>
          <w:sz w:val="24"/>
          <w:szCs w:val="24"/>
        </w:rPr>
        <w:t>Business</w:t>
      </w:r>
      <w:proofErr w:type="spellEnd"/>
      <w:r w:rsidRPr="00436A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i/>
          <w:sz w:val="24"/>
          <w:szCs w:val="24"/>
        </w:rPr>
        <w:t>Horizons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,  58(1),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рp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>. 123—133.</w:t>
      </w:r>
    </w:p>
    <w:p w:rsidR="008D285B" w:rsidRPr="008D285B" w:rsidRDefault="00585270" w:rsidP="009912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Сборник с доклади от конференции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: </w:t>
      </w:r>
    </w:p>
    <w:p w:rsidR="00436AA6" w:rsidRDefault="00436AA6" w:rsidP="009912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Alinaghian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L.S.,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Aghdasi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M. &amp;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Srai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J.S. (2011). Developing a refined model for purchasing and supply system transformation: benefiting from organizational change theories in purchasing development models, </w:t>
      </w:r>
      <w:r w:rsidRPr="00A25172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20th Annual IPSERA Conference</w:t>
      </w:r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Maastricht, pp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. 1-17.</w:t>
      </w:r>
    </w:p>
    <w:p w:rsidR="008D285B" w:rsidRPr="008D285B" w:rsidRDefault="00585270" w:rsidP="009912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Глава от книга под редакция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: </w:t>
      </w:r>
    </w:p>
    <w:p w:rsidR="008D285B" w:rsidRPr="008D285B" w:rsidRDefault="008D285B" w:rsidP="009912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Thomas, R. (2010). </w:t>
      </w:r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Destination management organisations in Ireland.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 Wing, P. and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Cappello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M. (Ed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.).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Tourism and competitiveness. 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Bristol: Regent Publications, pp. 106-125. </w:t>
      </w:r>
    </w:p>
    <w:p w:rsidR="008D285B" w:rsidRPr="008D285B" w:rsidRDefault="00585270" w:rsidP="009912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Интернет сайт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:</w:t>
      </w:r>
    </w:p>
    <w:p w:rsidR="00585270" w:rsidRPr="00585270" w:rsidRDefault="00585270" w:rsidP="0099126D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Blackstone, J.H.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(Е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d.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)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(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2013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)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. APICS Dictionary. The 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ssential supply chain reference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,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pdf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Chicago: APICS. Available at: </w:t>
      </w:r>
    </w:p>
    <w:p w:rsidR="00585270" w:rsidRPr="00585270" w:rsidRDefault="00585270" w:rsidP="0099126D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ab/>
        <w:t>&lt;</w:t>
      </w:r>
      <w:bookmarkStart w:id="0" w:name="_GoBack"/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http://www.feg.unesp.br/dpd/scm/claudemir/part3/Apics%20Dictionary.pdf</w:t>
      </w:r>
      <w:bookmarkEnd w:id="0"/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&gt; 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Accessed 18 June 2015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.</w:t>
      </w:r>
    </w:p>
    <w:p w:rsidR="00585270" w:rsidRDefault="00585270" w:rsidP="0099126D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</w:p>
    <w:p w:rsidR="00D0727F" w:rsidRPr="008D285B" w:rsidRDefault="00D0727F" w:rsidP="0099126D">
      <w:pPr>
        <w:spacing w:after="120" w:line="240" w:lineRule="auto"/>
        <w:rPr>
          <w:sz w:val="24"/>
          <w:szCs w:val="24"/>
        </w:rPr>
      </w:pPr>
    </w:p>
    <w:sectPr w:rsidR="00D0727F" w:rsidRPr="008D285B" w:rsidSect="007E5ECB">
      <w:pgSz w:w="11907" w:h="16839" w:code="9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87" w:rsidRDefault="00471787" w:rsidP="008D285B">
      <w:pPr>
        <w:spacing w:after="0" w:line="240" w:lineRule="auto"/>
      </w:pPr>
      <w:r>
        <w:separator/>
      </w:r>
    </w:p>
  </w:endnote>
  <w:endnote w:type="continuationSeparator" w:id="0">
    <w:p w:rsidR="00471787" w:rsidRDefault="00471787" w:rsidP="008D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87" w:rsidRDefault="00471787" w:rsidP="008D285B">
      <w:pPr>
        <w:spacing w:after="0" w:line="240" w:lineRule="auto"/>
      </w:pPr>
      <w:r>
        <w:separator/>
      </w:r>
    </w:p>
  </w:footnote>
  <w:footnote w:type="continuationSeparator" w:id="0">
    <w:p w:rsidR="00471787" w:rsidRDefault="00471787" w:rsidP="008D285B">
      <w:pPr>
        <w:spacing w:after="0" w:line="240" w:lineRule="auto"/>
      </w:pPr>
      <w:r>
        <w:continuationSeparator/>
      </w:r>
    </w:p>
  </w:footnote>
  <w:footnote w:id="1">
    <w:p w:rsidR="008D285B" w:rsidRPr="005B68D4" w:rsidRDefault="008D285B" w:rsidP="008D285B">
      <w:pPr>
        <w:pStyle w:val="FootnoteText"/>
        <w:rPr>
          <w:rFonts w:ascii="Times New Roman" w:hAnsi="Times New Roman"/>
          <w:lang w:val="hr-HR"/>
        </w:rPr>
      </w:pPr>
      <w:r w:rsidRPr="001F488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F4882">
        <w:rPr>
          <w:rFonts w:ascii="Times New Roman" w:hAnsi="Times New Roman"/>
          <w:sz w:val="16"/>
          <w:szCs w:val="16"/>
        </w:rPr>
        <w:t xml:space="preserve"> </w:t>
      </w:r>
      <w:r w:rsidR="00133BE6" w:rsidRPr="005B68D4">
        <w:rPr>
          <w:rFonts w:ascii="Times New Roman" w:hAnsi="Times New Roman"/>
        </w:rPr>
        <w:t>Пример за текст под линия</w:t>
      </w:r>
      <w:r w:rsidR="00133BE6" w:rsidRPr="005B68D4">
        <w:rPr>
          <w:rFonts w:ascii="Times New Roman" w:hAnsi="Times New Roman"/>
          <w:lang w:val="hr-HR"/>
        </w:rPr>
        <w:t xml:space="preserve"> (</w:t>
      </w:r>
      <w:r w:rsidR="00133BE6" w:rsidRPr="005B68D4">
        <w:rPr>
          <w:rFonts w:ascii="Times New Roman" w:hAnsi="Times New Roman"/>
        </w:rPr>
        <w:t>10</w:t>
      </w:r>
      <w:r w:rsidR="00366CC8" w:rsidRPr="005B68D4">
        <w:rPr>
          <w:rFonts w:ascii="Times New Roman" w:hAnsi="Times New Roman"/>
          <w:lang w:val="hr-HR"/>
        </w:rPr>
        <w:t xml:space="preserve"> pt, L</w:t>
      </w:r>
      <w:r w:rsidRPr="005B68D4">
        <w:rPr>
          <w:rFonts w:ascii="Times New Roman" w:hAnsi="Times New Roman"/>
          <w:lang w:val="hr-HR"/>
        </w:rPr>
        <w:t>eft alignment)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0413"/>
    <w:multiLevelType w:val="hybridMultilevel"/>
    <w:tmpl w:val="E58CE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6E"/>
    <w:rsid w:val="000678C3"/>
    <w:rsid w:val="00074603"/>
    <w:rsid w:val="00133BE6"/>
    <w:rsid w:val="001838C1"/>
    <w:rsid w:val="002B571F"/>
    <w:rsid w:val="002B5880"/>
    <w:rsid w:val="00366CC8"/>
    <w:rsid w:val="00390FF0"/>
    <w:rsid w:val="003A5957"/>
    <w:rsid w:val="00436AA6"/>
    <w:rsid w:val="0046306A"/>
    <w:rsid w:val="00471787"/>
    <w:rsid w:val="004F53E9"/>
    <w:rsid w:val="005146DB"/>
    <w:rsid w:val="00585270"/>
    <w:rsid w:val="005B68D4"/>
    <w:rsid w:val="005C27FE"/>
    <w:rsid w:val="005F3C6E"/>
    <w:rsid w:val="0060756E"/>
    <w:rsid w:val="00650033"/>
    <w:rsid w:val="007610AF"/>
    <w:rsid w:val="007B0E9B"/>
    <w:rsid w:val="007E5ECB"/>
    <w:rsid w:val="008D285B"/>
    <w:rsid w:val="008E79EE"/>
    <w:rsid w:val="00923691"/>
    <w:rsid w:val="00960BEE"/>
    <w:rsid w:val="0099126D"/>
    <w:rsid w:val="009D680D"/>
    <w:rsid w:val="009E3F42"/>
    <w:rsid w:val="00A25172"/>
    <w:rsid w:val="00AE7783"/>
    <w:rsid w:val="00B14512"/>
    <w:rsid w:val="00C60A4D"/>
    <w:rsid w:val="00C8435C"/>
    <w:rsid w:val="00CB3B2D"/>
    <w:rsid w:val="00D0727F"/>
    <w:rsid w:val="00DC3311"/>
    <w:rsid w:val="00E343F5"/>
    <w:rsid w:val="00E636B6"/>
    <w:rsid w:val="00E63AE5"/>
    <w:rsid w:val="00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91E7"/>
  <w15:docId w15:val="{2A26DCE4-65B5-45F3-A952-17C48C2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2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85B"/>
    <w:rPr>
      <w:sz w:val="20"/>
      <w:szCs w:val="20"/>
    </w:rPr>
  </w:style>
  <w:style w:type="character" w:styleId="FootnoteReference">
    <w:name w:val="footnote reference"/>
    <w:aliases w:val="Footnote symbol"/>
    <w:semiHidden/>
    <w:rsid w:val="008D28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D872-66C2-4176-B1B7-2B83DDC3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Miroslava Rakovska</cp:lastModifiedBy>
  <cp:revision>4</cp:revision>
  <dcterms:created xsi:type="dcterms:W3CDTF">2016-04-26T07:02:00Z</dcterms:created>
  <dcterms:modified xsi:type="dcterms:W3CDTF">2021-07-26T11:41:00Z</dcterms:modified>
</cp:coreProperties>
</file>